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5"/>
        <w:ind w:left="3670" w:right="3672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Draft Template of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 w:lineRule="auto" w:line="275"/>
        <w:ind w:left="1098" w:right="109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MEMORANDUM OF UNDERSTANDING FOR INSTITUTIONAL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COLLABORATION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/>
        <w:ind w:left="3989" w:right="398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BETWEEN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/>
        <w:ind w:left="999" w:right="1002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INDIAN INSTITUTE OF TECHNOLOGY KHARAGPUR (IITKGP),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AND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953" w:right="955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----------------- UNIVERSITY/INSTITUTE, -----------, (XXXXX), ---------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8128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Preamble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20" w:right="110"/>
      </w:pPr>
      <w:r>
        <w:rPr>
          <w:rFonts w:cs="Times New Roman" w:hAnsi="Times New Roman" w:eastAsia="Times New Roman" w:ascii="Times New Roman"/>
          <w:sz w:val="24"/>
          <w:szCs w:val="24"/>
        </w:rPr>
        <w:t>Indian Institute of Technology Kharagpur (IITKGP) is a reputed institution of higher learning</w:t>
      </w:r>
      <w:r>
        <w:rPr>
          <w:rFonts w:cs="Times New Roman" w:hAnsi="Times New Roman" w:eastAsia="Times New Roman" w:ascii="Times New Roman"/>
          <w:sz w:val="24"/>
          <w:szCs w:val="24"/>
        </w:rPr>
        <w:t> situated at Kharagpur, India, 721302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351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&lt; Enter basic description of Collaborating Institution&gt;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20" w:right="76"/>
      </w:pPr>
      <w:r>
        <w:rPr>
          <w:rFonts w:cs="Times New Roman" w:hAnsi="Times New Roman" w:eastAsia="Times New Roman" w:ascii="Times New Roman"/>
          <w:sz w:val="24"/>
          <w:szCs w:val="24"/>
        </w:rPr>
        <w:t>IITKGP and XXXXX have agreed for institutional collaboration in education and research.</w:t>
      </w:r>
      <w:r>
        <w:rPr>
          <w:rFonts w:cs="Times New Roman" w:hAnsi="Times New Roman" w:eastAsia="Times New Roman" w:ascii="Times New Roman"/>
          <w:sz w:val="24"/>
          <w:szCs w:val="24"/>
        </w:rPr>
        <w:t> The primary objective is to promote interaction and collaboration between faculty, staff and</w:t>
      </w:r>
      <w:r>
        <w:rPr>
          <w:rFonts w:cs="Times New Roman" w:hAnsi="Times New Roman" w:eastAsia="Times New Roman" w:ascii="Times New Roman"/>
          <w:sz w:val="24"/>
          <w:szCs w:val="24"/>
        </w:rPr>
        <w:t> students  of  the  two  institutions  through  visits  and  exchange  programmes,  carry  out  &lt;joint</w:t>
      </w:r>
      <w:r>
        <w:rPr>
          <w:rFonts w:cs="Times New Roman" w:hAnsi="Times New Roman" w:eastAsia="Times New Roman" w:ascii="Times New Roman"/>
          <w:sz w:val="24"/>
          <w:szCs w:val="24"/>
        </w:rPr>
        <w:t> academic and research programmes&gt;, &lt;joint supervision of doctoral and masters students&gt;,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120" w:right="76"/>
      </w:pPr>
      <w:r>
        <w:rPr>
          <w:rFonts w:cs="Times New Roman" w:hAnsi="Times New Roman" w:eastAsia="Times New Roman" w:ascii="Times New Roman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add others as needed</w:t>
      </w:r>
      <w:r>
        <w:rPr>
          <w:rFonts w:cs="Times New Roman" w:hAnsi="Times New Roman" w:eastAsia="Times New Roman" w:ascii="Times New Roman"/>
          <w:sz w:val="24"/>
          <w:szCs w:val="24"/>
        </w:rPr>
        <w:t>&gt; on a reciprocal basis. The relationship also aims at enhancing the</w:t>
      </w:r>
      <w:r>
        <w:rPr>
          <w:rFonts w:cs="Times New Roman" w:hAnsi="Times New Roman" w:eastAsia="Times New Roman" w:ascii="Times New Roman"/>
          <w:sz w:val="24"/>
          <w:szCs w:val="24"/>
        </w:rPr>
        <w:t> technological,  social  and  cultural  relations  of  both  countries/states/regions.  This  document</w:t>
      </w:r>
      <w:r>
        <w:rPr>
          <w:rFonts w:cs="Times New Roman" w:hAnsi="Times New Roman" w:eastAsia="Times New Roman" w:ascii="Times New Roman"/>
          <w:sz w:val="24"/>
          <w:szCs w:val="24"/>
        </w:rPr>
        <w:t> presents  a  general  framework  for  such  a  relationship.  It  also  includes  some  specifically</w:t>
      </w:r>
      <w:r>
        <w:rPr>
          <w:rFonts w:cs="Times New Roman" w:hAnsi="Times New Roman" w:eastAsia="Times New Roman" w:ascii="Times New Roman"/>
          <w:sz w:val="24"/>
          <w:szCs w:val="24"/>
        </w:rPr>
        <w:t> identified areas of cooperation, which may be updated from time to time.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73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Coordination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20" w:right="79"/>
      </w:pPr>
      <w:r>
        <w:rPr>
          <w:rFonts w:cs="Times New Roman" w:hAnsi="Times New Roman" w:eastAsia="Times New Roman" w:ascii="Times New Roman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Enter name of Coordinator</w:t>
      </w:r>
      <w:r>
        <w:rPr>
          <w:rFonts w:cs="Times New Roman" w:hAnsi="Times New Roman" w:eastAsia="Times New Roman" w:ascii="Times New Roman"/>
          <w:sz w:val="24"/>
          <w:szCs w:val="24"/>
        </w:rPr>
        <w:t>&gt; shall be the Coordinator from XXXXX and Professor ……..</w:t>
      </w:r>
      <w:r>
        <w:rPr>
          <w:rFonts w:cs="Times New Roman" w:hAnsi="Times New Roman" w:eastAsia="Times New Roman" w:ascii="Times New Roman"/>
          <w:sz w:val="24"/>
          <w:szCs w:val="24"/>
        </w:rPr>
        <w:t> shall be the Coordinator from IITKGP. The participants and Coordinators may change from</w:t>
      </w:r>
      <w:r>
        <w:rPr>
          <w:rFonts w:cs="Times New Roman" w:hAnsi="Times New Roman" w:eastAsia="Times New Roman" w:ascii="Times New Roman"/>
          <w:sz w:val="24"/>
          <w:szCs w:val="24"/>
        </w:rPr>
        <w:t> time to time as decided by appropriate authority of the respective institutions.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691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Scope of Cooperation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2098"/>
      </w:pPr>
      <w:r>
        <w:rPr>
          <w:rFonts w:cs="Times New Roman" w:hAnsi="Times New Roman" w:eastAsia="Times New Roman" w:ascii="Times New Roman"/>
          <w:sz w:val="24"/>
          <w:szCs w:val="24"/>
        </w:rPr>
        <w:t>The following areas of cooperation have been identified under this MoU.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5321"/>
      </w:pPr>
      <w:r>
        <w:rPr>
          <w:rFonts w:cs="Times New Roman" w:hAnsi="Times New Roman" w:eastAsia="Times New Roman" w:ascii="Times New Roman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Add/Modify/Delete as appropriate&gt;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660" w:right="78" w:hanging="540"/>
      </w:pPr>
      <w:r>
        <w:rPr>
          <w:rFonts w:cs="Times New Roman" w:hAnsi="Times New Roman" w:eastAsia="Times New Roman" w:ascii="Times New Roman"/>
          <w:sz w:val="24"/>
          <w:szCs w:val="24"/>
        </w:rPr>
        <w:t>(i) 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acu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ex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ch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nge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pr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: The two parties will explore opportunities for interaction</w:t>
      </w:r>
      <w:r>
        <w:rPr>
          <w:rFonts w:cs="Times New Roman" w:hAnsi="Times New Roman" w:eastAsia="Times New Roman" w:ascii="Times New Roman"/>
          <w:sz w:val="24"/>
          <w:szCs w:val="24"/>
        </w:rPr>
        <w:t> among  members  of  faculty  as  well  as  creating  Visiting  Faculty  positions.  The  total</w:t>
      </w:r>
      <w:r>
        <w:rPr>
          <w:rFonts w:cs="Times New Roman" w:hAnsi="Times New Roman" w:eastAsia="Times New Roman" w:ascii="Times New Roman"/>
          <w:sz w:val="24"/>
          <w:szCs w:val="24"/>
        </w:rPr>
        <w:t> duration of visits from each side is expected to be approximately equal. Each such visit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6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shall require approval of the respective institutions.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660" w:right="78" w:hanging="540"/>
        <w:sectPr>
          <w:pgNumType w:start="1"/>
          <w:pgMar w:footer="1049" w:header="0" w:top="1360" w:bottom="280" w:left="1320" w:right="132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(ii)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ude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nt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x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ng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pr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: The two parties agree to participate in student exchange</w:t>
      </w:r>
      <w:r>
        <w:rPr>
          <w:rFonts w:cs="Times New Roman" w:hAnsi="Times New Roman" w:eastAsia="Times New Roman" w:ascii="Times New Roman"/>
          <w:sz w:val="24"/>
          <w:szCs w:val="24"/>
        </w:rPr>
        <w:t> programme at the respective institutions. Visits under such programmes may be for a</w:t>
      </w:r>
      <w:r>
        <w:rPr>
          <w:rFonts w:cs="Times New Roman" w:hAnsi="Times New Roman" w:eastAsia="Times New Roman" w:ascii="Times New Roman"/>
          <w:sz w:val="24"/>
          <w:szCs w:val="24"/>
        </w:rPr>
        <w:t> short duration, such as summer/winter terms or short courses, or for a longer duration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76"/>
        <w:ind w:left="660" w:right="76"/>
      </w:pPr>
      <w:r>
        <w:rPr>
          <w:rFonts w:cs="Times New Roman" w:hAnsi="Times New Roman" w:eastAsia="Times New Roman" w:ascii="Times New Roman"/>
          <w:sz w:val="24"/>
          <w:szCs w:val="24"/>
        </w:rPr>
        <w:t>not  exceeding  two  semesters.  For  visits  exceeding  two  semesters  separate  approvals</w:t>
      </w:r>
      <w:r>
        <w:rPr>
          <w:rFonts w:cs="Times New Roman" w:hAnsi="Times New Roman" w:eastAsia="Times New Roman" w:ascii="Times New Roman"/>
          <w:sz w:val="24"/>
          <w:szCs w:val="24"/>
        </w:rPr>
        <w:t> will  be  needed.  A  detailed  proposal  document  on  this  (including  credit  transfer</w:t>
      </w:r>
      <w:r>
        <w:rPr>
          <w:rFonts w:cs="Times New Roman" w:hAnsi="Times New Roman" w:eastAsia="Times New Roman" w:ascii="Times New Roman"/>
          <w:sz w:val="24"/>
          <w:szCs w:val="24"/>
        </w:rPr>
        <w:t> arrangements) has to be approved by the highest academic bodies of the two institutions</w:t>
      </w:r>
      <w:r>
        <w:rPr>
          <w:rFonts w:cs="Times New Roman" w:hAnsi="Times New Roman" w:eastAsia="Times New Roman" w:ascii="Times New Roman"/>
          <w:sz w:val="24"/>
          <w:szCs w:val="24"/>
        </w:rPr>
        <w:t> before implementation.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tLeast" w:line="300"/>
        <w:ind w:left="660" w:right="79" w:hanging="540"/>
      </w:pPr>
      <w:r>
        <w:rPr>
          <w:rFonts w:cs="Times New Roman" w:hAnsi="Times New Roman" w:eastAsia="Times New Roman" w:ascii="Times New Roman"/>
          <w:sz w:val="24"/>
          <w:szCs w:val="24"/>
        </w:rPr>
        <w:t>(iii)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nt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es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ear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ch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ect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  The two parties will explore opportunities of undertaking joint</w:t>
      </w:r>
      <w:r>
        <w:rPr>
          <w:rFonts w:cs="Times New Roman" w:hAnsi="Times New Roman" w:eastAsia="Times New Roman" w:ascii="Times New Roman"/>
          <w:sz w:val="24"/>
          <w:szCs w:val="24"/>
        </w:rPr>
        <w:t> research projects. and may seek research funding from external funding agencies. Each</w:t>
      </w:r>
      <w:r>
        <w:rPr>
          <w:rFonts w:cs="Times New Roman" w:hAnsi="Times New Roman" w:eastAsia="Times New Roman" w:ascii="Times New Roman"/>
          <w:sz w:val="24"/>
          <w:szCs w:val="24"/>
        </w:rPr>
        <w:t> such research proposal shall require approval of the respective institutions.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660" w:right="78" w:hanging="540"/>
      </w:pPr>
      <w:r>
        <w:rPr>
          <w:rFonts w:cs="Times New Roman" w:hAnsi="Times New Roman" w:eastAsia="Times New Roman" w:ascii="Times New Roman"/>
          <w:sz w:val="24"/>
          <w:szCs w:val="24"/>
        </w:rPr>
        <w:t>(iv)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oor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na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dua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gr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pr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gr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:  Joint  PhD/Masters  programmes  may  be</w:t>
      </w:r>
      <w:r>
        <w:rPr>
          <w:rFonts w:cs="Times New Roman" w:hAnsi="Times New Roman" w:eastAsia="Times New Roman" w:ascii="Times New Roman"/>
          <w:sz w:val="24"/>
          <w:szCs w:val="24"/>
        </w:rPr>
        <w:t> explored and formulated, possibly in association with other reputed academic, research</w:t>
      </w:r>
      <w:r>
        <w:rPr>
          <w:rFonts w:cs="Times New Roman" w:hAnsi="Times New Roman" w:eastAsia="Times New Roman" w:ascii="Times New Roman"/>
          <w:sz w:val="24"/>
          <w:szCs w:val="24"/>
        </w:rPr>
        <w:t> or industrial organisations. A detailed document related to such programmes, including</w:t>
      </w:r>
      <w:r>
        <w:rPr>
          <w:rFonts w:cs="Times New Roman" w:hAnsi="Times New Roman" w:eastAsia="Times New Roman" w:ascii="Times New Roman"/>
          <w:sz w:val="24"/>
          <w:szCs w:val="24"/>
        </w:rPr>
        <w:t> credit transfer arrangements, will be required and approved by the competent authorities</w:t>
      </w:r>
      <w:r>
        <w:rPr>
          <w:rFonts w:cs="Times New Roman" w:hAnsi="Times New Roman" w:eastAsia="Times New Roman" w:ascii="Times New Roman"/>
          <w:sz w:val="24"/>
          <w:szCs w:val="24"/>
        </w:rPr>
        <w:t> of both the institutions, before implementation.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660" w:right="77" w:hanging="540"/>
      </w:pPr>
      <w:r>
        <w:rPr>
          <w:rFonts w:cs="Times New Roman" w:hAnsi="Times New Roman" w:eastAsia="Times New Roman" w:ascii="Times New Roman"/>
          <w:sz w:val="24"/>
          <w:szCs w:val="24"/>
        </w:rPr>
        <w:t>(v)  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acad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em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ct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es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ev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en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:  IITKGP  and  XXXXX  may  formulate  joint</w:t>
      </w:r>
      <w:r>
        <w:rPr>
          <w:rFonts w:cs="Times New Roman" w:hAnsi="Times New Roman" w:eastAsia="Times New Roman" w:ascii="Times New Roman"/>
          <w:sz w:val="24"/>
          <w:szCs w:val="24"/>
        </w:rPr>
        <w:t> academic activities such as short course, seminars, workshops or conferences based on</w:t>
      </w:r>
      <w:r>
        <w:rPr>
          <w:rFonts w:cs="Times New Roman" w:hAnsi="Times New Roman" w:eastAsia="Times New Roman" w:ascii="Times New Roman"/>
          <w:sz w:val="24"/>
          <w:szCs w:val="24"/>
        </w:rPr>
        <w:t> mutual  interests  and  available  expertise  in  both  the  institutions.  They may  also  share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66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and carry out joint research in technology for distance and computer-based learning.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5"/>
        <w:ind w:left="120" w:right="82"/>
      </w:pPr>
      <w:r>
        <w:rPr>
          <w:rFonts w:cs="Times New Roman" w:hAnsi="Times New Roman" w:eastAsia="Times New Roman" w:ascii="Times New Roman"/>
          <w:sz w:val="24"/>
          <w:szCs w:val="24"/>
        </w:rPr>
        <w:t>The areas of cooperation may be revised by mutual consent. However, specific programmes</w:t>
      </w:r>
      <w:r>
        <w:rPr>
          <w:rFonts w:cs="Times New Roman" w:hAnsi="Times New Roman" w:eastAsia="Times New Roman" w:ascii="Times New Roman"/>
          <w:sz w:val="24"/>
          <w:szCs w:val="24"/>
        </w:rPr>
        <w:t> may require separate agreements detailed out and documented as annexures to this MoU.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115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Non-discrimination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9"/>
      </w:pPr>
      <w:r>
        <w:rPr>
          <w:rFonts w:cs="Times New Roman" w:hAnsi="Times New Roman" w:eastAsia="Times New Roman" w:ascii="Times New Roman"/>
          <w:sz w:val="24"/>
          <w:szCs w:val="24"/>
        </w:rPr>
        <w:t>IITKGP  and  XXXX  agree  not  to  discriminate  against  any  person  because  of  age,  sex,</w:t>
      </w:r>
      <w:r>
        <w:rPr>
          <w:rFonts w:cs="Times New Roman" w:hAnsi="Times New Roman" w:eastAsia="Times New Roman" w:ascii="Times New Roman"/>
          <w:sz w:val="24"/>
          <w:szCs w:val="24"/>
        </w:rPr>
        <w:t> national  origin,  race,  ancestry,  color,  religious  creed  disability  or  handicap,  and  sexual</w:t>
      </w:r>
      <w:r>
        <w:rPr>
          <w:rFonts w:cs="Times New Roman" w:hAnsi="Times New Roman" w:eastAsia="Times New Roman" w:ascii="Times New Roman"/>
          <w:sz w:val="24"/>
          <w:szCs w:val="24"/>
        </w:rPr>
        <w:t> orientation.  Neither  institution  shall  impose  criteria  for  the  exchange  of  faculty,  staff  and</w:t>
      </w:r>
      <w:r>
        <w:rPr>
          <w:rFonts w:cs="Times New Roman" w:hAnsi="Times New Roman" w:eastAsia="Times New Roman" w:ascii="Times New Roman"/>
          <w:sz w:val="24"/>
          <w:szCs w:val="24"/>
        </w:rPr>
        <w:t> students that would violate the principles of non-discrimination.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37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Code of Conduct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851"/>
      </w:pPr>
      <w:r>
        <w:rPr>
          <w:rFonts w:cs="Times New Roman" w:hAnsi="Times New Roman" w:eastAsia="Times New Roman" w:ascii="Times New Roman"/>
          <w:sz w:val="24"/>
          <w:szCs w:val="24"/>
        </w:rPr>
        <w:t>Visiting student and faculty will abide by the codes of conduct of the host Institution..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697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Intellectual Property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20" w:right="74"/>
      </w:pPr>
      <w:r>
        <w:rPr>
          <w:rFonts w:cs="Times New Roman" w:hAnsi="Times New Roman" w:eastAsia="Times New Roman" w:ascii="Times New Roman"/>
          <w:sz w:val="24"/>
          <w:szCs w:val="24"/>
        </w:rPr>
        <w:t>Each  institution  will  adhere  to  the  intellectual  laws  of  its  nation.  Intellectual  property</w:t>
      </w:r>
      <w:r>
        <w:rPr>
          <w:rFonts w:cs="Times New Roman" w:hAnsi="Times New Roman" w:eastAsia="Times New Roman" w:ascii="Times New Roman"/>
          <w:sz w:val="24"/>
          <w:szCs w:val="24"/>
        </w:rPr>
        <w:t> developed during the visit of an exchange student/researcher/faculty/staff will be governed by</w:t>
      </w:r>
      <w:r>
        <w:rPr>
          <w:rFonts w:cs="Times New Roman" w:hAnsi="Times New Roman" w:eastAsia="Times New Roman" w:ascii="Times New Roman"/>
          <w:sz w:val="24"/>
          <w:szCs w:val="24"/>
        </w:rPr>
        <w:t> the rules of the host institute unless otherwise specified.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20" w:right="80"/>
        <w:sectPr>
          <w:pgMar w:header="0" w:footer="1049" w:top="1360" w:bottom="280" w:left="1320" w:right="1320"/>
          <w:pgSz w:w="11920" w:h="1684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Any Background Intellectual Property (BGIP) shall remain the sole and exclusive property of</w:t>
      </w:r>
      <w:r>
        <w:rPr>
          <w:rFonts w:cs="Times New Roman" w:hAnsi="Times New Roman" w:eastAsia="Times New Roman" w:ascii="Times New Roman"/>
          <w:sz w:val="24"/>
          <w:szCs w:val="24"/>
        </w:rPr>
        <w:t> the Party to whom it belonged prior to the commencement of this MoU.  If one Party receives</w:t>
      </w:r>
      <w:r>
        <w:rPr>
          <w:rFonts w:cs="Times New Roman" w:hAnsi="Times New Roman" w:eastAsia="Times New Roman" w:ascii="Times New Roman"/>
          <w:sz w:val="24"/>
          <w:szCs w:val="24"/>
        </w:rPr>
        <w:t> any BGIP from the partner under a clearly defined non-disclosure agreement, necessary and</w:t>
      </w:r>
      <w:r>
        <w:rPr>
          <w:rFonts w:cs="Times New Roman" w:hAnsi="Times New Roman" w:eastAsia="Times New Roman" w:ascii="Times New Roman"/>
          <w:sz w:val="24"/>
          <w:szCs w:val="24"/>
        </w:rPr>
        <w:t> reasonable care will be taken to protect the intellectual property received.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276"/>
        <w:ind w:left="120" w:right="78"/>
      </w:pPr>
      <w:r>
        <w:rPr>
          <w:rFonts w:cs="Times New Roman" w:hAnsi="Times New Roman" w:eastAsia="Times New Roman" w:ascii="Times New Roman"/>
          <w:sz w:val="24"/>
          <w:szCs w:val="24"/>
        </w:rPr>
        <w:t>The two institutions shall jointly own results and Intellectual Property generated thereof for</w:t>
      </w:r>
      <w:r>
        <w:rPr>
          <w:rFonts w:cs="Times New Roman" w:hAnsi="Times New Roman" w:eastAsia="Times New Roman" w:ascii="Times New Roman"/>
          <w:sz w:val="24"/>
          <w:szCs w:val="24"/>
        </w:rPr>
        <w:t> clearly  defined  collaborative  projects  and  exchange  programmes.  This  joint  ownership  of</w:t>
      </w:r>
      <w:r>
        <w:rPr>
          <w:rFonts w:cs="Times New Roman" w:hAnsi="Times New Roman" w:eastAsia="Times New Roman" w:ascii="Times New Roman"/>
          <w:sz w:val="24"/>
          <w:szCs w:val="24"/>
        </w:rPr>
        <w:t> Jointly   Developed   Intellectual   Property   (JDIP)   also   entitles   each   party   to   explore</w:t>
      </w:r>
      <w:r>
        <w:rPr>
          <w:rFonts w:cs="Times New Roman" w:hAnsi="Times New Roman" w:eastAsia="Times New Roman" w:ascii="Times New Roman"/>
          <w:sz w:val="24"/>
          <w:szCs w:val="24"/>
        </w:rPr>
        <w:t> commercialization. However, transfer or sale of JDIP and associated sharing of revenue shall</w:t>
      </w:r>
      <w:r>
        <w:rPr>
          <w:rFonts w:cs="Times New Roman" w:hAnsi="Times New Roman" w:eastAsia="Times New Roman" w:ascii="Times New Roman"/>
          <w:sz w:val="24"/>
          <w:szCs w:val="24"/>
        </w:rPr>
        <w:t> be governed by a separate agreement.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8085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Financing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20" w:right="79"/>
      </w:pPr>
      <w:r>
        <w:rPr>
          <w:rFonts w:cs="Times New Roman" w:hAnsi="Times New Roman" w:eastAsia="Times New Roman" w:ascii="Times New Roman"/>
          <w:sz w:val="24"/>
          <w:szCs w:val="24"/>
        </w:rPr>
        <w:t>Both institutes will consider tuition fee waivers to the visiting students. The host institute will</w:t>
      </w:r>
      <w:r>
        <w:rPr>
          <w:rFonts w:cs="Times New Roman" w:hAnsi="Times New Roman" w:eastAsia="Times New Roman" w:ascii="Times New Roman"/>
          <w:sz w:val="24"/>
          <w:szCs w:val="24"/>
        </w:rPr>
        <w:t> make  arrangements  for   local  living  including  accommodation,  food,  insurance  etc.  at</w:t>
      </w:r>
      <w:r>
        <w:rPr>
          <w:rFonts w:cs="Times New Roman" w:hAnsi="Times New Roman" w:eastAsia="Times New Roman" w:ascii="Times New Roman"/>
          <w:sz w:val="24"/>
          <w:szCs w:val="24"/>
        </w:rPr>
        <w:t> reasonable costs to visiting students and faculty. All travel costs shall be borne by the visitors</w:t>
      </w:r>
      <w:r>
        <w:rPr>
          <w:rFonts w:cs="Times New Roman" w:hAnsi="Times New Roman" w:eastAsia="Times New Roman" w:ascii="Times New Roman"/>
          <w:sz w:val="24"/>
          <w:szCs w:val="24"/>
        </w:rPr>
        <w:t> or their home institution.  Additional support, if any, will be governed by separate agreements</w:t>
      </w:r>
      <w:r>
        <w:rPr>
          <w:rFonts w:cs="Times New Roman" w:hAnsi="Times New Roman" w:eastAsia="Times New Roman" w:ascii="Times New Roman"/>
          <w:sz w:val="24"/>
          <w:szCs w:val="24"/>
        </w:rPr>
        <w:t> that may be drawn up for specific activities.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83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Legal Status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20" w:right="77"/>
      </w:pPr>
      <w:r>
        <w:rPr>
          <w:rFonts w:cs="Times New Roman" w:hAnsi="Times New Roman" w:eastAsia="Times New Roman" w:ascii="Times New Roman"/>
          <w:sz w:val="24"/>
          <w:szCs w:val="24"/>
        </w:rPr>
        <w:t>This document is a statement of intent to foster genuine and mutually beneficial cooperation</w:t>
      </w:r>
      <w:r>
        <w:rPr>
          <w:rFonts w:cs="Times New Roman" w:hAnsi="Times New Roman" w:eastAsia="Times New Roman" w:ascii="Times New Roman"/>
          <w:sz w:val="24"/>
          <w:szCs w:val="24"/>
        </w:rPr>
        <w:t> and is not legally binding on both the parties. Any disputes shall be resolved through mutual</w:t>
      </w:r>
      <w:r>
        <w:rPr>
          <w:rFonts w:cs="Times New Roman" w:hAnsi="Times New Roman" w:eastAsia="Times New Roman" w:ascii="Times New Roman"/>
          <w:sz w:val="24"/>
          <w:szCs w:val="24"/>
        </w:rPr>
        <w:t> discussion.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648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Validity and Termination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20" w:right="78"/>
      </w:pPr>
      <w:r>
        <w:rPr>
          <w:rFonts w:cs="Times New Roman" w:hAnsi="Times New Roman" w:eastAsia="Times New Roman" w:ascii="Times New Roman"/>
          <w:sz w:val="24"/>
          <w:szCs w:val="24"/>
        </w:rPr>
        <w:t>This MoU is valid for an initial period of five years and becomes effective from the date it is</w:t>
      </w:r>
      <w:r>
        <w:rPr>
          <w:rFonts w:cs="Times New Roman" w:hAnsi="Times New Roman" w:eastAsia="Times New Roman" w:ascii="Times New Roman"/>
          <w:sz w:val="24"/>
          <w:szCs w:val="24"/>
        </w:rPr>
        <w:t> signed by the partners. The partnership period may be extended by mutual consent.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5715"/>
      </w:pPr>
      <w:r>
        <w:rPr>
          <w:rFonts w:cs="Times New Roman" w:hAnsi="Times New Roman" w:eastAsia="Times New Roman" w:ascii="Times New Roman"/>
          <w:sz w:val="24"/>
          <w:szCs w:val="24"/>
        </w:rPr>
        <w:t>This agreement may be terminated: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80"/>
      </w:pPr>
      <w:r>
        <w:rPr>
          <w:rFonts w:cs="Times New Roman" w:hAnsi="Times New Roman" w:eastAsia="Times New Roman" w:ascii="Times New Roman"/>
          <w:sz w:val="24"/>
          <w:szCs w:val="24"/>
        </w:rPr>
        <w:t>a.   on either party giving the other party 6 months’ prior written notice;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5"/>
        <w:ind w:left="840" w:right="80" w:hanging="360"/>
      </w:pPr>
      <w:r>
        <w:rPr>
          <w:rFonts w:cs="Times New Roman" w:hAnsi="Times New Roman" w:eastAsia="Times New Roman" w:ascii="Times New Roman"/>
          <w:sz w:val="24"/>
          <w:szCs w:val="24"/>
        </w:rPr>
        <w:t>b.   on written notice by one of the Parties if the other Party has committed a breach of</w:t>
      </w:r>
      <w:r>
        <w:rPr>
          <w:rFonts w:cs="Times New Roman" w:hAnsi="Times New Roman" w:eastAsia="Times New Roman" w:ascii="Times New Roman"/>
          <w:sz w:val="24"/>
          <w:szCs w:val="24"/>
        </w:rPr>
        <w:t> this MoU.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120" w:right="78"/>
      </w:pPr>
      <w:r>
        <w:rPr>
          <w:rFonts w:cs="Times New Roman" w:hAnsi="Times New Roman" w:eastAsia="Times New Roman" w:ascii="Times New Roman"/>
          <w:sz w:val="24"/>
          <w:szCs w:val="24"/>
        </w:rPr>
        <w:t>However, specific commitments made prior to such intimation shall be honoured by both the</w:t>
      </w:r>
      <w:r>
        <w:rPr>
          <w:rFonts w:cs="Times New Roman" w:hAnsi="Times New Roman" w:eastAsia="Times New Roman" w:ascii="Times New Roman"/>
          <w:sz w:val="24"/>
          <w:szCs w:val="24"/>
        </w:rPr>
        <w:t> partners  including  ensuring that  any student  at  that  time  participating in  the  Programme  is</w:t>
      </w:r>
      <w:r>
        <w:rPr>
          <w:rFonts w:cs="Times New Roman" w:hAnsi="Times New Roman" w:eastAsia="Times New Roman" w:ascii="Times New Roman"/>
          <w:sz w:val="24"/>
          <w:szCs w:val="24"/>
        </w:rPr>
        <w:t> able to complete the term of the assignment and be assessed for it.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20"/>
      </w:pPr>
      <w:r>
        <w:rPr>
          <w:rFonts w:cs="Times New Roman" w:hAnsi="Times New Roman" w:eastAsia="Times New Roman" w:ascii="Times New Roman"/>
          <w:sz w:val="24"/>
          <w:szCs w:val="24"/>
        </w:rPr>
        <w:t>--------------------------------------------             ---------------------------------------------------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733"/>
      </w:pPr>
      <w:r>
        <w:rPr>
          <w:rFonts w:cs="Times New Roman" w:hAnsi="Times New Roman" w:eastAsia="Times New Roman" w:ascii="Times New Roman"/>
          <w:sz w:val="24"/>
          <w:szCs w:val="24"/>
        </w:rPr>
        <w:t>……………...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3995"/>
      </w:pPr>
      <w:r>
        <w:rPr>
          <w:rFonts w:cs="Times New Roman" w:hAnsi="Times New Roman" w:eastAsia="Times New Roman" w:ascii="Times New Roman"/>
          <w:sz w:val="24"/>
          <w:szCs w:val="24"/>
        </w:rPr>
        <w:t>………………………………                        Director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42"/>
      </w:pPr>
      <w:r>
        <w:pict>
          <v:group style="position:absolute;margin-left:319.68pt;margin-top:54.7151pt;width:120.6pt;height:0.48pt;mso-position-horizontal-relative:page;mso-position-vertical-relative:paragraph;z-index:-131" coordorigin="6394,1094" coordsize="2412,10">
            <v:shape style="position:absolute;left:6398;top:1099;width:1800;height:0" coordorigin="6398,1099" coordsize="1800,0" path="m6398,1099l8198,1099e" filled="f" stroked="t" strokeweight="0.48pt" strokecolor="#000000">
              <v:path arrowok="t"/>
            </v:shape>
            <v:shape style="position:absolute;left:8201;top:1099;width:600;height:0" coordorigin="8201,1099" coordsize="600,0" path="m8201,1099l8801,109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Indian Institute of Technology Kharagpur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0" w:right="3155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……………………….                                   Kharagpur, India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0" w:footer="1049" w:top="1360" w:bottom="280" w:left="1320" w:right="1320"/>
          <w:pgSz w:w="11920" w:h="16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0" w:right="-56"/>
      </w:pPr>
      <w:r>
        <w:pict>
          <v:group style="position:absolute;margin-left:100.68pt;margin-top:14.7651pt;width:120.6pt;height:0.48pt;mso-position-horizontal-relative:page;mso-position-vertical-relative:paragraph;z-index:-132" coordorigin="2014,295" coordsize="2412,10">
            <v:shape style="position:absolute;left:2018;top:300;width:1800;height:0" coordorigin="2018,300" coordsize="1800,0" path="m2018,300l3818,300e" filled="f" stroked="t" strokeweight="0.48pt" strokecolor="#000000">
              <v:path arrowok="t"/>
            </v:shape>
            <v:shape style="position:absolute;left:3821;top:300;width:600;height:0" coordorigin="3821,300" coordsize="600,0" path="m3821,300l4421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Date 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Date :</w:t>
      </w:r>
    </w:p>
    <w:sectPr>
      <w:type w:val="continuous"/>
      <w:pgSz w:w="11920" w:h="16840"/>
      <w:pgMar w:top="1360" w:bottom="280" w:left="1320" w:right="1320"/>
      <w:cols w:num="2" w:equalWidth="off">
        <w:col w:w="698" w:space="3742"/>
        <w:col w:w="4840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3.48pt;margin-top:778.224pt;width:30.96pt;height:14pt;mso-position-horizontal-relative:page;mso-position-vertical-relative:page;z-index:-1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b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t>of </w:t>
                </w:r>
                <w:r>
                  <w:rPr>
                    <w:rFonts w:cs="Times New Roman" w:hAnsi="Times New Roman" w:eastAsia="Times New Roman" w:ascii="Times New Roman"/>
                    <w:b/>
                    <w:sz w:val="24"/>
                    <w:szCs w:val="24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